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5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1</w:t>
      </w:r>
      <w:r>
        <w:rPr>
          <w:sz w:val="24"/>
          <w:szCs w:val="22"/>
        </w:rPr>
      </w:r>
    </w:p>
    <w:p>
      <w:pPr>
        <w:pStyle w:val="635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</w:p>
    <w:p>
      <w:pPr>
        <w:pStyle w:val="635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«Об исполнении бюджета Территориального фонда обязательного медицинского страхования Московской области за 20</w:t>
      </w:r>
      <w:r>
        <w:rPr>
          <w:sz w:val="24"/>
          <w:szCs w:val="22"/>
        </w:rPr>
        <w:t xml:space="preserve">25</w:t>
      </w:r>
      <w:r>
        <w:rPr>
          <w:sz w:val="24"/>
          <w:szCs w:val="22"/>
        </w:rPr>
        <w:t xml:space="preserve"> год» </w:t>
      </w:r>
      <w:r>
        <w:rPr>
          <w:sz w:val="24"/>
          <w:szCs w:val="22"/>
        </w:rPr>
      </w:r>
    </w:p>
    <w:p>
      <w:pPr>
        <w:pStyle w:val="635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5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5"/>
        <w:ind w:left="1418" w:right="1416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бюджета </w:t>
      </w:r>
      <w:r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Московской области </w:t>
      </w:r>
      <w:r>
        <w:rPr>
          <w:b/>
          <w:bCs/>
          <w:sz w:val="28"/>
          <w:szCs w:val="28"/>
        </w:rPr>
        <w:t xml:space="preserve">по кодам классификации доходов бюджетов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20</w:t>
      </w:r>
      <w:r>
        <w:rPr>
          <w:b/>
          <w:bCs/>
          <w:sz w:val="28"/>
          <w:szCs w:val="28"/>
        </w:rPr>
        <w:t xml:space="preserve">25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35"/>
        <w:ind w:left="1418" w:right="1418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03"/>
        <w:gridCol w:w="4536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none" w:color="000000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03" w:type="dxa"/>
            <w:vAlign w:val="center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Наименования доходов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(тыс. рублей)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635"/>
        <w:rPr>
          <w:vanish/>
          <w:sz w:val="2"/>
        </w:rPr>
      </w:pPr>
      <w:r>
        <w:rPr>
          <w:vanish/>
          <w:sz w:val="2"/>
        </w:rPr>
      </w:r>
      <w:r>
        <w:rPr>
          <w:vanish/>
          <w:sz w:val="2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E0" w:firstRow="1" w:lastRow="1" w:firstColumn="1" w:lastColumn="0" w:noHBand="0" w:noVBand="1"/>
      </w:tblPr>
      <w:tblGrid>
        <w:gridCol w:w="3403"/>
        <w:gridCol w:w="4536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000 1 00 00000 00 0000 000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918 572,9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000 1 13 00000 00 0000 000</w:t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65 775,6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000 1 13 02000 00 0000 130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65 775,6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000 1 13 02990 00 0000 130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государства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65 775,6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395 1 13 02999 0</w:t>
            </w: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  <w:lang w:val="en-US"/>
              </w:rPr>
              <w:t xml:space="preserve">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65 775,6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1 16 00000 00 0000 000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79 844,3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000 1 16 07000 00 0000 140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bCs/>
                <w:sz w:val="24"/>
                <w:szCs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20 623,3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000 1 16 07010 00 0000 140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71,5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395 1 16 07010 09 0000 140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71,5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000 1 16 07090 00 0000 140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</w:t>
            </w:r>
            <w:r>
              <w:rPr>
                <w:bCs/>
                <w:sz w:val="24"/>
                <w:szCs w:val="24"/>
              </w:rPr>
              <w:t xml:space="preserve">ни, уплаченные в соответствии с законом </w:t>
              <w:br/>
              <w:t xml:space="preserve">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20 551,8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8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395 1 16 07090 09 0000 140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20 551,8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000 1 16 10000 00 0000 140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59 221,0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000 1 16 10050 00 0000 140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vMerge w:val="restart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государственного контракта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vMerge w:val="restart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1,1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395 1 16 10058 09 0000 140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vMerge w:val="restart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vMerge w:val="restart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1,1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000 1 16 10100 00 0000 140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47 605,2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395 1 16 10100 09 0000 140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47 605,2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6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000 1 16 10110 00 0000 140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</w:t>
            </w:r>
            <w:r>
              <w:rPr>
                <w:bCs/>
                <w:sz w:val="24"/>
                <w:szCs w:val="24"/>
              </w:rPr>
              <w:t xml:space="preserve">,</w:t>
            </w:r>
            <w:r>
              <w:rPr>
                <w:bCs/>
                <w:sz w:val="24"/>
                <w:szCs w:val="24"/>
              </w:rPr>
              <w:t xml:space="preserve"> и прочее возмещение ущерба, причиненного федеральному имуществу, находящемуся в их владении и пользовании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11 614,7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6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395 1 16 10119 09 0000 140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11 614,7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000 1 17 00000 00 0000 000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ДОХОДЫ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772 953,0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000 1 17 06000 00 0000 180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поступления в бюджеты государственных внебюджетных фондов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772 953,0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395 1 17 06040 09 0000 180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неналоговые поступления в территориальные фонды обязательного медицинского страхования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772 953,0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000 2 00 00000 00 0000 000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БЕЗВОЗМЕЗДНЫЕ ПОСТУПЛЕНИЯ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211 267 440,2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000 2 02 00000 00 0000 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47"/>
              <w:rPr>
                <w:bCs/>
              </w:rPr>
            </w:pPr>
            <w:r>
              <w:rPr>
                <w:bCs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211 363 903,8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000 2 02 50000 00 0000 150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208 754 226,8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395 2 02 50202 09 0000 150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35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51"/>
              <w:jc w:val="left"/>
              <w:spacing w:before="0" w:beforeAutospacing="0" w:after="0" w:afterAutospacing="0" w:line="288" w:lineRule="atLeast"/>
              <w:rPr>
                <w:bCs/>
              </w:rPr>
            </w:pPr>
            <w:r>
              <w:t xml:space="preserve">Межбюджетные трансферты из бюджетов субъектов Российской Федерации, </w:t>
            </w:r>
            <w: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</w:t>
            </w:r>
            <w:r>
              <w:t xml:space="preserve">обязательного медицинского страхования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11 051 044,9</w:t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395 2 02 50203 09 0000 150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651"/>
              <w:jc w:val="left"/>
              <w:spacing w:before="0" w:beforeAutospacing="0" w:after="0" w:afterAutospacing="0" w:line="288" w:lineRule="atLeast"/>
              <w:rPr>
                <w14:ligatures w14:val="none"/>
              </w:rPr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</w:pPr>
            <w:r>
              <w:rPr>
                <w:sz w:val="24"/>
                <w:szCs w:val="24"/>
              </w:rPr>
              <w:t xml:space="preserve">1 823 294,0</w:t>
            </w: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1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395 2 02 55093 09 0000 150</w:t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179 800 222,5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1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vMerge w:val="restart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395 2 02 55257 09 0000 150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vMerge w:val="restart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vMerge w:val="restart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906 200,9</w:t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</w:pPr>
            <w:r>
              <w:rPr>
                <w:bCs/>
                <w:sz w:val="24"/>
                <w:szCs w:val="24"/>
              </w:rPr>
              <w:t xml:space="preserve">395 2 02 55258 09 0000 150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sz w:val="24"/>
                <w:szCs w:val="24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7 571,4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000 2 02 59999 00 0000 150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межбюджетные трансферты, передаваемые бюджетам государственных внебюджетных фондов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15 165 893,1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395 2 02 59999 09 0000 150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15 165 893,1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2 02 </w:t>
            </w:r>
            <w:r>
              <w:rPr>
                <w:bCs/>
                <w:sz w:val="24"/>
                <w:szCs w:val="24"/>
                <w:lang w:val="en-US"/>
              </w:rPr>
              <w:t xml:space="preserve">9</w:t>
            </w:r>
            <w:r>
              <w:rPr>
                <w:bCs/>
                <w:sz w:val="24"/>
                <w:szCs w:val="24"/>
              </w:rPr>
              <w:t xml:space="preserve">0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00 0000 150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  <w:br w:type="textWrapping" w:clear="all"/>
              <w:t xml:space="preserve">от других бюджетов бюджетной системы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2 609 677,0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000 2 02 90020 00 0000 150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widowControl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безвозмездные поступления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2 609 677,0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395 2 02 90029 09 0000 150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  <w:br w:type="textWrapping" w:clear="all"/>
              <w:t xml:space="preserve">в территориальные фонды обязательного медицинского страхования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2 609 677,0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6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000 2 18 00000 00 0000 000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19 982,3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000 2 18 00000 00 0000 150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бюджетов бюджетной </w:t>
            </w:r>
            <w:r>
              <w:rPr>
                <w:bCs/>
                <w:sz w:val="24"/>
                <w:szCs w:val="24"/>
              </w:rPr>
              <w:t xml:space="preserve">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19 982,3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000 2 18 00000 09 0000 150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19 982,3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395 2 18 45136 09 0000 150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432,7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395 2 18 73000 09 0000 150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19 549,6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000 2 19 00000 00 0000 000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-116 445,9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000 2 19 00000 09 0000 150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-116 445,9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395 2 19 55093 09 0000 150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субвенций прошлых лет на фина</w:t>
            </w:r>
            <w:r>
              <w:rPr>
                <w:bCs/>
                <w:sz w:val="24"/>
                <w:szCs w:val="24"/>
              </w:rPr>
              <w:t xml:space="preserve">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-75 168,1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</w:t>
            </w: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  <w:t xml:space="preserve"> 2 19 55136 09 0000 150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-432,8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395 2 19 55257 09 0000 150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-6 272,2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395 2 19 55258 09 0000 150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</w:t>
            </w:r>
            <w:r>
              <w:rPr>
                <w:bCs/>
                <w:sz w:val="24"/>
                <w:szCs w:val="24"/>
              </w:rPr>
              <w:t xml:space="preserve">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-47,5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395 2 19 71030 09 0000 150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-7 642,7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395 2 19 73000 09 0000 150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-26 882,6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Align w:val="top"/>
            <w:textDirection w:val="lrTb"/>
            <w:noWrap w:val="false"/>
          </w:tcPr>
          <w:p>
            <w:pPr>
              <w:pStyle w:val="635"/>
              <w:ind w:right="-108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635"/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ДОХОДОВ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top"/>
            <w:textDirection w:val="lrTb"/>
            <w:noWrap w:val="false"/>
          </w:tcPr>
          <w:p>
            <w:pPr>
              <w:pStyle w:val="635"/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212 186 013,1</w:t>
            </w:r>
            <w:r>
              <w:rPr>
                <w:b/>
                <w:bCs/>
                <w:sz w:val="24"/>
                <w:szCs w:val="24"/>
                <w:highlight w:val="yellow"/>
              </w:rPr>
            </w:r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1"/>
      <w:rPr>
        <w:rStyle w:val="642"/>
        <w:sz w:val="28"/>
        <w:szCs w:val="28"/>
      </w:rPr>
      <w:framePr w:vAnchor="text" w:hAnchor="page" w:x="6781" w:y="-18"/>
    </w:pPr>
    <w:r>
      <w:rPr>
        <w:rStyle w:val="642"/>
        <w:sz w:val="28"/>
        <w:szCs w:val="28"/>
      </w:rPr>
      <w:fldChar w:fldCharType="begin"/>
    </w:r>
    <w:r>
      <w:rPr>
        <w:rStyle w:val="642"/>
        <w:sz w:val="28"/>
        <w:szCs w:val="28"/>
      </w:rPr>
      <w:instrText xml:space="preserve">PAGE  </w:instrText>
    </w:r>
    <w:r>
      <w:rPr>
        <w:rStyle w:val="642"/>
        <w:sz w:val="28"/>
        <w:szCs w:val="28"/>
      </w:rPr>
      <w:fldChar w:fldCharType="separate"/>
    </w:r>
    <w:r>
      <w:rPr>
        <w:rStyle w:val="642"/>
        <w:sz w:val="28"/>
        <w:szCs w:val="28"/>
      </w:rPr>
      <w:t xml:space="preserve">5</w:t>
    </w:r>
    <w:r>
      <w:rPr>
        <w:rStyle w:val="642"/>
        <w:sz w:val="28"/>
        <w:szCs w:val="28"/>
      </w:rPr>
      <w:fldChar w:fldCharType="end"/>
    </w:r>
    <w:r>
      <w:rPr>
        <w:rStyle w:val="642"/>
        <w:sz w:val="28"/>
        <w:szCs w:val="28"/>
      </w:rPr>
    </w:r>
    <w:r>
      <w:rPr>
        <w:rStyle w:val="642"/>
        <w:sz w:val="28"/>
        <w:szCs w:val="28"/>
      </w:rPr>
    </w:r>
  </w:p>
  <w:p>
    <w:pPr>
      <w:pStyle w:val="641"/>
      <w:rPr>
        <w:rStyle w:val="642"/>
      </w:rPr>
    </w:pPr>
    <w:r>
      <w:rPr>
        <w:rStyle w:val="642"/>
      </w:rPr>
    </w:r>
    <w:r>
      <w:rPr>
        <w:rStyle w:val="642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5"/>
    <w:next w:val="63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5"/>
    <w:next w:val="63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5"/>
    <w:next w:val="63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5"/>
    <w:next w:val="63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5"/>
    <w:next w:val="63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5"/>
    <w:next w:val="63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5"/>
    <w:next w:val="63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5"/>
    <w:next w:val="63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5"/>
    <w:next w:val="63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5"/>
    <w:next w:val="63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5"/>
    <w:next w:val="63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5"/>
    <w:next w:val="63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5"/>
    <w:next w:val="63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5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5"/>
    <w:next w:val="635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5"/>
    <w:next w:val="63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5"/>
    <w:next w:val="63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5"/>
    <w:next w:val="63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5"/>
    <w:next w:val="63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5"/>
    <w:next w:val="63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5"/>
    <w:next w:val="63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5"/>
    <w:next w:val="63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5"/>
    <w:next w:val="63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5"/>
    <w:next w:val="63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5"/>
    <w:next w:val="635"/>
    <w:uiPriority w:val="99"/>
    <w:unhideWhenUsed/>
    <w:pPr>
      <w:spacing w:after="0" w:afterAutospacing="0"/>
    </w:pPr>
  </w:style>
  <w:style w:type="paragraph" w:styleId="635" w:default="1">
    <w:name w:val="Normal"/>
    <w:next w:val="635"/>
    <w:link w:val="635"/>
    <w:qFormat/>
    <w:pPr>
      <w:widowControl w:val="off"/>
    </w:pPr>
    <w:rPr>
      <w:lang w:val="ru-RU" w:eastAsia="ru-RU" w:bidi="ar-SA"/>
    </w:rPr>
  </w:style>
  <w:style w:type="paragraph" w:styleId="636">
    <w:name w:val="Заголовок 1"/>
    <w:basedOn w:val="635"/>
    <w:next w:val="635"/>
    <w:link w:val="645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637">
    <w:name w:val="Заголовок 9"/>
    <w:basedOn w:val="635"/>
    <w:next w:val="635"/>
    <w:link w:val="646"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638">
    <w:name w:val="Основной шрифт абзаца"/>
    <w:next w:val="638"/>
    <w:link w:val="635"/>
    <w:uiPriority w:val="1"/>
    <w:semiHidden/>
    <w:unhideWhenUsed/>
  </w:style>
  <w:style w:type="table" w:styleId="639">
    <w:name w:val="Обычная таблица"/>
    <w:next w:val="639"/>
    <w:link w:val="635"/>
    <w:uiPriority w:val="99"/>
    <w:semiHidden/>
    <w:unhideWhenUsed/>
    <w:tblPr/>
  </w:style>
  <w:style w:type="numbering" w:styleId="640">
    <w:name w:val="Нет списка"/>
    <w:next w:val="640"/>
    <w:link w:val="635"/>
    <w:uiPriority w:val="99"/>
    <w:semiHidden/>
    <w:unhideWhenUsed/>
  </w:style>
  <w:style w:type="paragraph" w:styleId="641">
    <w:name w:val="Верхний колонтитул"/>
    <w:basedOn w:val="635"/>
    <w:next w:val="641"/>
    <w:link w:val="635"/>
    <w:pPr>
      <w:widowControl/>
      <w:tabs>
        <w:tab w:val="center" w:pos="4677" w:leader="none"/>
        <w:tab w:val="right" w:pos="9355" w:leader="none"/>
      </w:tabs>
    </w:pPr>
  </w:style>
  <w:style w:type="character" w:styleId="642">
    <w:name w:val="Номер страницы"/>
    <w:basedOn w:val="638"/>
    <w:next w:val="642"/>
    <w:link w:val="635"/>
  </w:style>
  <w:style w:type="paragraph" w:styleId="643">
    <w:name w:val="Текст выноски"/>
    <w:basedOn w:val="635"/>
    <w:next w:val="643"/>
    <w:link w:val="635"/>
    <w:semiHidden/>
    <w:rPr>
      <w:rFonts w:ascii="Tahoma" w:hAnsi="Tahoma" w:cs="Tahoma"/>
      <w:sz w:val="16"/>
      <w:szCs w:val="16"/>
    </w:rPr>
  </w:style>
  <w:style w:type="paragraph" w:styleId="644">
    <w:name w:val="Схема документа"/>
    <w:basedOn w:val="635"/>
    <w:next w:val="644"/>
    <w:link w:val="635"/>
    <w:semiHidden/>
    <w:pPr>
      <w:shd w:val="clear" w:color="auto" w:fill="000080"/>
    </w:pPr>
    <w:rPr>
      <w:rFonts w:ascii="Tahoma" w:hAnsi="Tahoma" w:cs="Tahoma"/>
    </w:rPr>
  </w:style>
  <w:style w:type="character" w:styleId="645">
    <w:name w:val="Заголовок 1 Знак"/>
    <w:next w:val="645"/>
    <w:link w:val="636"/>
    <w:rPr>
      <w:sz w:val="24"/>
      <w:szCs w:val="24"/>
    </w:rPr>
  </w:style>
  <w:style w:type="character" w:styleId="646">
    <w:name w:val="Заголовок 9 Знак"/>
    <w:next w:val="646"/>
    <w:link w:val="637"/>
    <w:rPr>
      <w:rFonts w:ascii="Calibri Light" w:hAnsi="Calibri Light" w:eastAsia="Times New Roman" w:cs="Times New Roman"/>
      <w:sz w:val="22"/>
      <w:szCs w:val="22"/>
    </w:rPr>
  </w:style>
  <w:style w:type="paragraph" w:styleId="647">
    <w:name w:val="ConsPlusCell"/>
    <w:next w:val="647"/>
    <w:link w:val="635"/>
    <w:uiPriority w:val="99"/>
    <w:rPr>
      <w:sz w:val="24"/>
      <w:szCs w:val="24"/>
      <w:lang w:val="ru-RU" w:eastAsia="ru-RU" w:bidi="ar-SA"/>
    </w:rPr>
  </w:style>
  <w:style w:type="table" w:styleId="648">
    <w:name w:val="Сетка таблицы"/>
    <w:basedOn w:val="639"/>
    <w:next w:val="648"/>
    <w:link w:val="635"/>
    <w:tblPr/>
  </w:style>
  <w:style w:type="paragraph" w:styleId="649">
    <w:name w:val="Нижний колонтитул"/>
    <w:basedOn w:val="635"/>
    <w:next w:val="649"/>
    <w:link w:val="650"/>
    <w:pPr>
      <w:tabs>
        <w:tab w:val="center" w:pos="4677" w:leader="none"/>
        <w:tab w:val="right" w:pos="9355" w:leader="none"/>
      </w:tabs>
    </w:pPr>
  </w:style>
  <w:style w:type="character" w:styleId="650">
    <w:name w:val="Нижний колонтитул Знак"/>
    <w:basedOn w:val="638"/>
    <w:next w:val="650"/>
    <w:link w:val="649"/>
  </w:style>
  <w:style w:type="paragraph" w:styleId="651">
    <w:name w:val="Обычный (веб)"/>
    <w:basedOn w:val="635"/>
    <w:next w:val="651"/>
    <w:link w:val="635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character" w:styleId="2334" w:default="1">
    <w:name w:val="Default Paragraph Font"/>
    <w:uiPriority w:val="1"/>
    <w:semiHidden/>
    <w:unhideWhenUsed/>
  </w:style>
  <w:style w:type="numbering" w:styleId="2335" w:default="1">
    <w:name w:val="No List"/>
    <w:uiPriority w:val="99"/>
    <w:semiHidden/>
    <w:unhideWhenUsed/>
  </w:style>
  <w:style w:type="table" w:styleId="233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208</cp:revision>
  <dcterms:created xsi:type="dcterms:W3CDTF">2019-11-12T14:00:00Z</dcterms:created>
  <dcterms:modified xsi:type="dcterms:W3CDTF">2026-01-30T11:33:34Z</dcterms:modified>
  <cp:version>1048576</cp:version>
</cp:coreProperties>
</file>